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бытовой-газ"/>
    <w:p>
      <w:pPr>
        <w:pStyle w:val="Heading3"/>
      </w:pPr>
      <w:r>
        <w:t xml:space="preserve">Памятка Бытовой газ</w:t>
      </w:r>
    </w:p>
    <w:p>
      <w:pPr>
        <w:pStyle w:val="FirstParagraph"/>
      </w:pPr>
      <w:r>
        <w:t xml:space="preserve">23.09.2022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http://zyablikovo.mos.ru/the-ministry-of-emergency-situations-informs/2-regional-office-of-oversight-activities-informs/detail/11067615.html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ministry-of-emergency-situations-informs/2-regional-office-of-oversight-activities-informs/detail/11067615.html" TargetMode="External" /><Relationship Type="http://schemas.openxmlformats.org/officeDocument/2006/relationships/hyperlink" Id="rId20" Target="https://brateevo.mos.ru/safety-and-security/gochsipb/detail/1071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ministry-of-emergency-situations-informs/2-regional-office-of-oversight-activities-informs/detail/11067615.html" TargetMode="External" /><Relationship Type="http://schemas.openxmlformats.org/officeDocument/2006/relationships/hyperlink" Id="rId20" Target="https://brateevo.mos.ru/safety-and-security/gochsipb/detail/1071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2024-12-31T06:22:25Z</dcterms:created>
  <dcterms:modified xsi:type="dcterms:W3CDTF">2024-12-31T06:22:25Z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