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21e955b3d5ed7b630dd6a33cb87fcd71014a7"/>
    <w:p>
      <w:pPr>
        <w:pStyle w:val="Heading3"/>
      </w:pPr>
      <w:r>
        <w:t xml:space="preserve">Информационное письмо Росздравнадзора: Субъектам обращения лекарственных средств Московского региона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drawing>
          <wp:inline>
            <wp:extent cx="5334000" cy="75057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69/informatsionnoe_pismo_roszravnadzo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5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http://zyablikovo.mos.ru/the-consumer-market-and-services/detail/8431870.html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8431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8431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2025-05-24T04:41:24Z</dcterms:created>
  <dcterms:modified xsi:type="dcterms:W3CDTF">2025-05-24T04:41:24Z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