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08.10.2018</w:t>
      </w:r>
    </w:p>
    <w:p>
      <w:pPr>
        <w:pStyle w:val="BodyText"/>
      </w:pPr>
      <w:r>
        <w:rPr>
          <w:bCs/>
          <w:b/>
        </w:rPr>
        <w:t xml:space="preserve">С 1 по 20 октября 2018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3 квартал 2018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пуаре, медовухи по форме 12 за 3 квартал 2018 года необходимо подать</w:t>
      </w:r>
      <w:r>
        <w:t xml:space="preserve"> </w:t>
      </w:r>
      <w:r>
        <w:rPr>
          <w:bCs/>
          <w:b/>
        </w:rPr>
        <w:t xml:space="preserve">до 20 октября 2018 года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 зарегистрированные на территории города Москвы представляют декларации по форме 11, а также по форме 12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по форме 12.</w:t>
      </w:r>
    </w:p>
    <w:p>
      <w:pPr>
        <w:pStyle w:val="BodyText"/>
      </w:pPr>
      <w:r>
        <w:t xml:space="preserve">Представление деклараций по форме 11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t xml:space="preserve"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п.п. 9, 17 статьи 19 171 Федерального закона,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http://zyablikovo.mos.ru/the-consumer-market-and-services/detail/7619962.html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7619962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7619962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2025-02-12T16:50:49Z</dcterms:created>
  <dcterms:modified xsi:type="dcterms:W3CDTF">2025-02-12T16:50:49Z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