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7bc0afca8df4f46422d484484e9897d3e04f6"/>
    <w:p>
      <w:pPr>
        <w:pStyle w:val="Heading3"/>
      </w:pPr>
      <w:r>
        <w:t xml:space="preserve">«О приостановлении розничной торговли спиртосодержащей непищевой продукции»</w:t>
      </w:r>
    </w:p>
    <w:p>
      <w:pPr>
        <w:pStyle w:val="FirstParagraph"/>
      </w:pPr>
      <w:r>
        <w:t xml:space="preserve">01.02.2017</w:t>
      </w:r>
    </w:p>
    <w:p>
      <w:pPr>
        <w:pStyle w:val="BodyText"/>
      </w:pPr>
      <w:r>
        <w:t xml:space="preserve">Постановление Главного государственного санитарного врача Российской Федерации от 24.01.2017 № 7 «О приостановлении розничной торговли спиртосодержащей непищевой продукции» (прилагается)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http://zyablikovo.mos.ru/the-consumer-market-and-services/detail/4827653.html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4827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4827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2024-10-26T17:01:55Z</dcterms:created>
  <dcterms:modified xsi:type="dcterms:W3CDTF">2024-10-26T17:01:55Z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