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6b6f973d671aed4091699302db25dbb707c0e"/>
    <w:p>
      <w:pPr>
        <w:pStyle w:val="Heading3"/>
      </w:pPr>
      <w:r>
        <w:t xml:space="preserve">С 1 по 20 июля 2023 года проводится декларационная кампания за 2 квартал 2023 года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2 квартал 2023 года необходимо подать до 20 июля 2023 года 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</w:rPr>
          <w:t xml:space="preserve">https://service.fsrar.ru/</w:t>
        </w:r>
      </w:hyperlink>
      <w:r>
        <w:t xml:space="preserve"> </w:t>
      </w:r>
      <w:r>
        <w:rPr>
          <w:u w:val="single"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 и форме № 8;</w:t>
      </w:r>
    </w:p>
    <w:p>
      <w:pPr>
        <w:pStyle w:val="BodyText"/>
      </w:pPr>
      <w: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http://zyablikovo.mos.ru/the-consumer-market-and-services/detail/11698066.html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698066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698066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2025-02-16T08:38:25Z</dcterms:created>
  <dcterms:modified xsi:type="dcterms:W3CDTF">2025-02-16T08:38:25Z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