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51b57e77077881471c4dc546c2d500f79cea85"/>
    <w:p>
      <w:pPr>
        <w:pStyle w:val="Heading3"/>
      </w:pPr>
      <w:r>
        <w:t xml:space="preserve">Уважаемые граждане, желающие стать приемными родителями!</w:t>
      </w:r>
    </w:p>
    <w:p>
      <w:pPr>
        <w:pStyle w:val="FirstParagraph"/>
      </w:pPr>
      <w:r>
        <w:t xml:space="preserve">20.11.2015</w:t>
      </w:r>
    </w:p>
    <w:p>
      <w:pPr>
        <w:pStyle w:val="BodyText"/>
      </w:pPr>
      <w:r>
        <w:drawing>
          <wp:inline>
            <wp:extent cx="5334000" cy="46901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a68/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690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http://zyablikovo.mos.ru/the-commission-on-affairs-of-minors-and-protection-of-their-rights-area-zyablikovo/detail/2316178.html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mmission-on-affairs-of-minors-and-protection-of-their-rights-area-zyablikovo/detail/23161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mmission-on-affairs-of-minors-and-protection-of-their-rights-area-zyablikovo/detail/23161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2023-12-29T08:52:47Z</dcterms:created>
  <dcterms:modified xsi:type="dcterms:W3CDTF">2023-12-29T08:52:47Z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