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38d18844252db9bae0606957455eec23993100"/>
    <w:p>
      <w:pPr>
        <w:pStyle w:val="Heading3"/>
      </w:pPr>
      <w:r>
        <w:t xml:space="preserve">В ГБОУ СКОШ № 991 и ГБОУ СПО Строительный техникум № 30 прошли расширенные советы по профилактики беспризорности, безнадзорности и правонарушений несовершеннолетних</w:t>
      </w:r>
    </w:p>
    <w:p>
      <w:pPr>
        <w:pStyle w:val="FirstParagraph"/>
      </w:pPr>
      <w:r>
        <w:t xml:space="preserve">24.03.2015</w:t>
      </w:r>
    </w:p>
    <w:p>
      <w:pPr>
        <w:pStyle w:val="BodyText"/>
      </w:pPr>
      <w:r>
        <w:t xml:space="preserve">23 января 2015 года в ГБОУ СКОШ № 991 и ГБОУ СПО Строительный техникум № 30 прошли расширенные советы по профилактики беспризорности, безнадзорности и правонарушений несовершеннолетних. В данных мероприятиях приняли участие специалисты КДН и ЗП района Зябликово и инспектор ОДН ОМВД России по району Зябликово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http://zyablikovo.mos.ru/the-commission-on-affairs-of-minors-and-protection-of-their-rights-area-zyablikovo/detail/1681293.html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6812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6812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2025-02-08T18:04:48Z</dcterms:created>
  <dcterms:modified xsi:type="dcterms:W3CDTF">2025-02-08T18:04:48Z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