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енний-призыв-2023"/>
    <w:p>
      <w:pPr>
        <w:pStyle w:val="Heading3"/>
      </w:pPr>
      <w:r>
        <w:t xml:space="preserve">Осенний призыв 2023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rPr>
          <w:bCs/>
          <w:b/>
        </w:rPr>
        <w:t xml:space="preserve">С 1 октября 2023 на территории Южного административного округа проводится осенняя призывная кампания</w:t>
      </w:r>
    </w:p>
    <w:p>
      <w:pPr>
        <w:pStyle w:val="BodyText"/>
      </w:pPr>
      <w:r>
        <w:drawing>
          <wp:inline>
            <wp:extent cx="5334000" cy="32139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60/rybbxrdy2ohnv8sgm40onr6ohxsfbla3/1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соответствии с Указом Президента РФ от 29 сентября 2023 № 735 «О призыве в октябре-декабре 2023 года граждан Российской Федерации на военную службу и об увольнении с военной службой граждан, проходящих военную службу по призыву» с 01.10.2023 по 31.12.2023 на территории Южного административного округа проводится осенняя призывная кампания.</w:t>
      </w:r>
    </w:p>
    <w:p>
      <w:pPr>
        <w:pStyle w:val="BodyText"/>
      </w:pPr>
      <w:r>
        <w:t xml:space="preserve">В ходе проведения осенней призывной кампании Военными комиссариатами Даниловского, Царицынского, Чертановского районов необходимо призвать на военную службу в целом по округу 983 человека.</w:t>
      </w:r>
    </w:p>
    <w:p>
      <w:pPr>
        <w:pStyle w:val="BodyText"/>
      </w:pPr>
      <w:r>
        <w:t xml:space="preserve">Служить Родине почетная обязанность!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http://zyablikovo.mos.ru/safety-and-security/the-military-enlistment-office-informs/detail/11918123.html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the-military-enlistment-office-informs/detail/11918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the-military-enlistment-office-informs/detail/11918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2025-06-06T21:13:22Z</dcterms:created>
  <dcterms:modified xsi:type="dcterms:W3CDTF">2025-06-06T21:13:22Z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