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информация-для-призывников"/>
    <w:p>
      <w:pPr>
        <w:pStyle w:val="Heading3"/>
      </w:pPr>
      <w:r>
        <w:t xml:space="preserve">Информация для призывников</w:t>
      </w:r>
    </w:p>
    <w:p>
      <w:pPr>
        <w:pStyle w:val="FirstParagraph"/>
      </w:pPr>
      <w:r>
        <w:t xml:space="preserve">24.02.2022</w:t>
      </w:r>
    </w:p>
    <w:p>
      <w:pPr>
        <w:pStyle w:val="BodyText"/>
      </w:pPr>
      <w:r>
        <w:drawing>
          <wp:inline>
            <wp:extent cx="5334000" cy="75472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43c/mq5t0c9ussmiehukyux3awbhb9cbgof5rjjc5ulbequ3uf1e4utxknh1kjdbmxueu8olrk_l5mc_rksj0ewsflpdek2as76pnso0vo_jrl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72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http://zyablikovo.mos.ru/safety-and-security/the-military-enlistment-office-informs/detail/10642120.html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safety-and-security/the-military-enlistment-office-informs/detail/106421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safety-and-security/the-military-enlistment-office-informs/detail/106421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2025-02-11T05:07:40Z</dcterms:created>
  <dcterms:modified xsi:type="dcterms:W3CDTF">2025-02-11T05:07:40Z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