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"/>
    <w:p>
      <w:pPr>
        <w:pStyle w:val="Heading3"/>
      </w:pPr>
      <w:r>
        <w:t xml:space="preserve">«ГИБДД информирует»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С 1 по 31 января 2025 года на территории Южного административного округа города Москвы произошло 10 дорожно-транспортных происшествий, в которых пострадало 12 несовершеннолетних, в возрасте до 16 лет.</w:t>
      </w:r>
    </w:p>
    <w:p>
      <w:pPr>
        <w:pStyle w:val="BodyText"/>
      </w:pPr>
      <w:r>
        <w:t xml:space="preserve">Госавтоинспекция Южного административного округа города Москвы напоминает водителям о необходимости соблюдения Правил дорожного движения, а также установленного скоростного режима и правильного выбора дистанции.</w:t>
      </w:r>
    </w:p>
    <w:p>
      <w:pPr>
        <w:pStyle w:val="BodyText"/>
      </w:pPr>
      <w:r>
        <w:t xml:space="preserve">Пеших участников дорожного движения призываем быть максимально внимательными на дороге и переходить ее только в установленных для этого местах, а также использовать световозвращающие элементы.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http://zyablikovo.mos.ru/safety-and-security/security-and-law-and-order/detail/12834428.html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34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34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2025-05-14T12:49:41Z</dcterms:created>
  <dcterms:modified xsi:type="dcterms:W3CDTF">2025-05-14T12:49:41Z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