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ee8d395dad7776065673cc5c36c6909c3ebed"/>
    <w:p>
      <w:pPr>
        <w:pStyle w:val="Heading3"/>
      </w:pPr>
      <w:r>
        <w:t xml:space="preserve">График работы досуговых кружков ГБУ г. Москвы « Центр досуга и спорта «Маяк» на территории района Зябликово Южного административного округа города Москвы в июле 2015 года.</w:t>
      </w:r>
    </w:p>
    <w:p>
      <w:pPr>
        <w:pStyle w:val="FirstParagraph"/>
      </w:pPr>
      <w:r>
        <w:t xml:space="preserve">13.07.2015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http://zyablikovo.mos.ru/organization-of-recreational-social-educational-health-and-sportivnoy-work-with-the-population-by-pl/detail/2003056.html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003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003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2023-11-12T08:39:53Z</dcterms:created>
  <dcterms:modified xsi:type="dcterms:W3CDTF">2023-11-12T08:39:53Z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