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6ee74cc3537130815ad88aa7bf7551c850009a"/>
    <w:p>
      <w:pPr>
        <w:pStyle w:val="Heading3"/>
      </w:pPr>
      <w:r>
        <w:t xml:space="preserve">10.03.2015 в ГБУ г. Москвы «Центр досуга и спорта «Маяк» по адресу: Задонский проезд, д.24, корп.2А прошли соревнования по бочче.</w:t>
      </w:r>
    </w:p>
    <w:p>
      <w:pPr>
        <w:pStyle w:val="FirstParagraph"/>
      </w:pPr>
      <w:r>
        <w:t xml:space="preserve">13.03.2015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34/cimg029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d6/cimg028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http://zyablikovo.mos.ru/organization-of-recreational-social-educational-health-and-sportivnoy-work-with-the-population-by-pl/detail/1654952.html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organization-of-recreational-social-educational-health-and-sportivnoy-work-with-the-population-by-pl/detail/1654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organization-of-recreational-social-educational-health-and-sportivnoy-work-with-the-population-by-pl/detail/1654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2023-09-21T02:53:08Z</dcterms:created>
  <dcterms:modified xsi:type="dcterms:W3CDTF">2023-09-21T02:53:08Z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