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ae28cf6c065b9ed794752c125b00cd4378e2e0"/>
    <w:p>
      <w:pPr>
        <w:pStyle w:val="Heading3"/>
      </w:pPr>
      <w:r>
        <w:t xml:space="preserve">10.02.2015 по адресу: Задонский проезд, д.24, корп.2 специалисты «ГБУ ЦФКиС г. Москвы» совместно с ГБУ г. Москвы «Центр досуга и спорта «Маяк» провели соревнования по бочче</w:t>
      </w:r>
    </w:p>
    <w:p>
      <w:pPr>
        <w:pStyle w:val="FirstParagraph"/>
      </w:pPr>
      <w:r>
        <w:t xml:space="preserve">25.02.2015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http://zyablikovo.mos.ru/organization-of-recreational-social-educational-health-and-sportivnoy-work-with-the-population-by-pl/detail/1609273.html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organization-of-recreational-social-educational-health-and-sportivnoy-work-with-the-population-by-pl/detail/16092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organization-of-recreational-social-educational-health-and-sportivnoy-work-with-the-population-by-pl/detail/16092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2025-02-01T22:48:54Z</dcterms:created>
  <dcterms:modified xsi:type="dcterms:W3CDTF">2025-02-01T22:48:54Z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