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78c9832b3504df804c46a5dbbf878ceca7cf802"/>
    <w:p>
      <w:pPr>
        <w:pStyle w:val="Heading3"/>
      </w:pPr>
      <w:r>
        <w:t xml:space="preserve">30.01.2015 в ГБУ г. Москвы «Центр досуга и спорта «Маяк» расположенного по адресу: Задонский проезд, д.24, корп.2, состоялось соревнование по каратэ среди юных спортсменов</w:t>
      </w:r>
    </w:p>
    <w:p>
      <w:pPr>
        <w:pStyle w:val="FirstParagraph"/>
      </w:pPr>
      <w:r>
        <w:t xml:space="preserve">24.02.2015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ba/p10203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55786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67/p102037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57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19276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a9/p102038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192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10/p102039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b2/p102040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http://zyablikovo.mos.ru/organization-of-recreational-social-educational-health-and-sportivnoy-work-with-the-population-by-pl/detail/1608137.html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608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yablikovo.mos.ru" TargetMode="External" /><Relationship Type="http://schemas.openxmlformats.org/officeDocument/2006/relationships/hyperlink" Id="rId35" Target="http://zyablikovo.mos.ru/organization-of-recreational-social-educational-health-and-sportivnoy-work-with-the-population-by-pl/detail/1608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2024-09-20T18:27:59Z</dcterms:created>
  <dcterms:modified xsi:type="dcterms:W3CDTF">2024-09-20T18:27:59Z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