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b938da8f0293eda89b964d0de85dfb9c06654"/>
    <w:p>
      <w:pPr>
        <w:pStyle w:val="Heading3"/>
      </w:pPr>
      <w:r>
        <w:t xml:space="preserve">15 августа 2014 года в ГБУ г. Москвы «Центр досуга и спорта «Маяк», расположенном по адресу: Задонский проезд, д.24, корп.2 , состоялись соревнования по бочче.</w:t>
      </w:r>
    </w:p>
    <w:p>
      <w:pPr>
        <w:pStyle w:val="FirstParagraph"/>
      </w:pPr>
      <w:r>
        <w:t xml:space="preserve">28.08.2014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http://zyablikovo.mos.ru/organization-of-recreational-social-educational-health-and-sportivnoy-work-with-the-population-by-pl/detail/1234056.html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15_avgusta_2014_goda_v_gbu_g_moskvy_centr_dosuga_i_sporta_majak_raspolozhennom_po_adresu_zado/40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34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15_avgusta_2014_goda_v_gbu_g_moskvy_centr_dosuga_i_sporta_majak_raspolozhennom_po_adresu_zado/40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34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2023-06-16T03:50:24Z</dcterms:created>
  <dcterms:modified xsi:type="dcterms:W3CDTF">2023-06-16T03:50:24Z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