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c62bc80cb70707790bc47d5f1ce5832a38125"/>
    <w:p>
      <w:pPr>
        <w:pStyle w:val="Heading3"/>
      </w:pPr>
      <w:r>
        <w:t xml:space="preserve">Об организации отдыха населения в зимний период 2021-2022 годов на территории Южного административного округа города Москвы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t xml:space="preserve">Распоряжение префектуры Южного административного округа об организации отдыха населения в зимний период 2021-2022 годов на территории Южного административного округа города Москвы</w:t>
      </w:r>
    </w:p>
    <w:p>
      <w:pPr>
        <w:pStyle w:val="BodyText"/>
      </w:pPr>
      <w:r>
        <w:t xml:space="preserve">О внесении изменений в распоряжение префектуры от 23.11.2021 № 01-10-459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http://zyablikovo.mos.ru/organization-of-recreational-social-educational-health-and-sportivnoy-work-with-the-population-by-pl/detail/10579020.html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0579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10579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2025-02-17T08:53:11Z</dcterms:created>
  <dcterms:modified xsi:type="dcterms:W3CDTF">2025-02-17T08:53:11Z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