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8bc40fd6db2bb46e8bdad9f410e7009b17a8f"/>
    <w:p>
      <w:pPr>
        <w:pStyle w:val="Heading3"/>
      </w:pPr>
      <w:r>
        <w:t xml:space="preserve">Оплачивайте жилищно-коммунальные услуги вовремя</w:t>
      </w:r>
    </w:p>
    <w:p>
      <w:pPr>
        <w:pStyle w:val="FirstParagraph"/>
      </w:pPr>
      <w:r>
        <w:t xml:space="preserve">23.10.2020</w:t>
      </w:r>
    </w:p>
    <w:p>
      <w:pPr>
        <w:pStyle w:val="BodyText"/>
      </w:pPr>
      <w:r>
        <w:t xml:space="preserve">Уважаемые жители!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Информируем Вас, что в соответствии с нормами ч. 14 и ч. 14.1 ст. 155 Жилищного кодекса РФ граждане несвоевременно и (или) не полностью внесшие плату за жилое помещение, коммунальные услуги, взнос на капитальный ремонт обязаны уплатить кредитору пени.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марта 2019 года организации жилищно-коммунального хозяйства и Фонд капитального ремонта многоквартирных домов города Москвы могут включить в единые платежные документы пени за не оплату жилого помещения и коммунальных услуг, а также взносов на капитальный ремонт.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Начисление пеней в единых платежных документах будет применяться по отношению к задолженности по оплате жилого помещения и коммунальных услуг, а также взносов на капитальный ремонт, образовавшейся за период после 1 января 2019 года. Пени на задолженность, образовавшуюся до 1 января 2019 года, могут взыскиваться управляющими организациями в рамках претензионно-исковой деятельности и в судебном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уточнения информации о наличии задолженности за оплату жилищно-коммунальных услуг Вы можете обратиться в МФЦ района или управляющую организацию.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http://zyablikovo.mos.ru/housing-and-communal-services/news/detail/9372584.html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9372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9372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2025-02-04T16:44:03Z</dcterms:created>
  <dcterms:modified xsi:type="dcterms:W3CDTF">2025-02-04T16:44:03Z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