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0040e519dfd87e79e19bf0b06265e2060e0a03"/>
    <w:p>
      <w:pPr>
        <w:pStyle w:val="Heading3"/>
      </w:pPr>
      <w:r>
        <w:t xml:space="preserve">Бесконтактно оплатить услуги ЖКХ банковской картой москвичи смогут непосредственно в ГБУ «Жилищник»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rPr>
          <w:iCs/>
          <w:i/>
          <w:bCs/>
          <w:b/>
        </w:rPr>
        <w:t xml:space="preserve">06 июля 2020 года, Москва</w:t>
      </w:r>
      <w:r>
        <w:t xml:space="preserve"> </w:t>
      </w:r>
      <w:r>
        <w:t xml:space="preserve">— Сбербанк заключил соглашения об информационно-технологическом взаимодействии с государственными бюджетными учреждениями «Жилищник» ряда столичных районов. При этом жители района Новокосино первыми получили возможность оплачивать жилищно-коммунальные услуги безналичным и полностью бесконтактным способом непосредственно в ГБУ «Жилищник», не посещая дополнительно отделение банка или почту.</w:t>
      </w:r>
    </w:p>
    <w:p>
      <w:pPr>
        <w:pStyle w:val="BodyText"/>
      </w:pPr>
      <w:r>
        <w:t xml:space="preserve">Любой посетитель учреждения при обращении с целью уточнения долга по услугам ЖКХ может сразу совершить оплату с использованием банковской карты или привязанного к ней гаджета. По желанию клиента долг может быть погашен полностью или частично.</w:t>
      </w:r>
    </w:p>
    <w:p>
      <w:pPr>
        <w:pStyle w:val="BodyText"/>
      </w:pPr>
      <w:r>
        <w:t xml:space="preserve">В ближайшее время аналогичное платежное решение от Сбербанка будет реализовано в подразделениях ГБУ «Жилищник» еще нескольких районов столицы, в том числе Мещанский, Вешняки, Восточное Измайлово и Метрогородок. А до конца года планируется развернуть данный проект во всех районах Москвы.</w:t>
      </w:r>
    </w:p>
    <w:p>
      <w:pPr>
        <w:pStyle w:val="BodyText"/>
      </w:pPr>
      <w:r>
        <w:rPr>
          <w:iCs/>
          <w:i/>
          <w:bCs/>
          <w:b/>
        </w:rPr>
        <w:t xml:space="preserve">Вячеслав Цыбульников, вице-президент ПАО Сбербанк – председатель Московского банка:</w:t>
      </w:r>
    </w:p>
    <w:p>
      <w:pPr>
        <w:pStyle w:val="BodyText"/>
      </w:pPr>
      <w:r>
        <w:rPr>
          <w:iCs/>
          <w:i/>
        </w:rPr>
        <w:t xml:space="preserve">«Практически все москвичи хотя бы раз сталкивались с необходимостью срочно получить справку, выписку из домовой книги или другой документ, связанный с недвижимостью. И, как правило, для этого обязательно нужно сначала погасить любую, даже минимальную текущую задолженность за услуги ЖКХ. Раньше для этого приходилось искать отделение банка или стоять в очереди на почте. Теперь совершить необходимую оплату можно будет, не выходя из помещения ГБУ «Жилищник», с помощью цифрового терминала Сбербанка. При этом вся процедура проходит бесконтактно с соблюдением требований эпидемиологической безопасности».</w:t>
      </w:r>
    </w:p>
    <w:p>
      <w:pPr>
        <w:pStyle w:val="BodyText"/>
      </w:pPr>
      <w:r>
        <w:rPr>
          <w:iCs/>
          <w:i/>
          <w:bCs/>
          <w:b/>
        </w:rPr>
        <w:t xml:space="preserve">Александр Соловьев, руководитель Департамента жилищно-коммунального хозяйства города Москвы:</w:t>
      </w:r>
    </w:p>
    <w:p>
      <w:pPr>
        <w:pStyle w:val="BodyText"/>
      </w:pPr>
      <w:r>
        <w:rPr>
          <w:iCs/>
          <w:i/>
        </w:rPr>
        <w:t xml:space="preserve">«Электронные сервисы в ЖКХ из года в год набирают популярность. Москвичи уже несколько лет решают многие жилищно-коммунальные вопросы с помощью цифровых проектов, которые реализуются в столице: оплачивают счета за коммунальные услуги, контролируют содержание подъездов, передают показания приборов учета. Перечень электронных услуг постоянно расширяется, позволяя повысить качество жизни в целом. Сегодня дополнительные возможности для дистанционной оплаты особенно актуальны. Жители могут выбрать для себя наиболее удобный способ для зачисления средств, а также научить своих родных, в особенности старшее поколение, использовать удаленные сервисы и терминалы».</w:t>
      </w:r>
    </w:p>
    <w:p>
      <w:pPr>
        <w:pStyle w:val="BodyText"/>
      </w:pPr>
      <w:r>
        <w:rPr>
          <w:bCs/>
          <w:b/>
        </w:rPr>
        <w:t xml:space="preserve">ПАО Сбербанк</w:t>
      </w:r>
      <w:r>
        <w:t xml:space="preserve"> </w:t>
      </w:r>
      <w:r>
        <w:t xml:space="preserve">— крупнейший банк в России и один из ведущих глобальных финансовых институтов. На долю Сбербанка приходится около трети активов всего российского банковского сектора. Сбербанк является ключевым кредитором для национальной экономики и занимает крупнейшую долю на рынке вкладов. Основным акционером ПАО Сбербанк является Российская Федерация в лице Министерства финансов Российской Федерации, владеющая 50% уставного капитала ПАО Сбербанк плюс 1 голосующая акция. Оставшимися 50% минус 1 голосующая акция от уставного капитала банка владеют российские и международные инвесторы. Услугами Сбербанка пользуются клиенты в 18 странах мира. Банк располагает самой обширной филиальной сетью в России: около 14 тысяч точек обслуживания. Зарубежная сеть банка состоит из дочерних банков, филиалов и представительств в Великобритании, США, СНГ, Центральной и Восточной Европе, Индии, Китае и других странах.</w:t>
      </w:r>
    </w:p>
    <w:p>
      <w:pPr>
        <w:pStyle w:val="BodyText"/>
      </w:pPr>
      <w:r>
        <w:t xml:space="preserve">Генеральная лицензия Банка России на осуществление банковских операций №1481. Официальные сайты банка —</w:t>
      </w:r>
      <w:r>
        <w:t xml:space="preserve"> </w:t>
      </w:r>
      <w:hyperlink r:id="rId20">
        <w:r>
          <w:rPr>
            <w:rStyle w:val="Hyperlink"/>
          </w:rPr>
          <w:t xml:space="preserve">www.sberbank.com</w:t>
        </w:r>
      </w:hyperlink>
      <w:r>
        <w:t xml:space="preserve"> </w:t>
      </w:r>
      <w:r>
        <w:t xml:space="preserve">(сайт Группы Сбербанк),</w:t>
      </w:r>
      <w:r>
        <w:t xml:space="preserve"> </w:t>
      </w:r>
      <w:hyperlink r:id="rId21">
        <w:r>
          <w:rPr>
            <w:rStyle w:val="Hyperlink"/>
          </w:rPr>
          <w:t xml:space="preserve">www.sberbank.ru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http://zyablikovo.mos.ru/housing-and-communal-services/news/detail/9007216.html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sberbank.com/" TargetMode="External" /><Relationship Type="http://schemas.openxmlformats.org/officeDocument/2006/relationships/hyperlink" Id="rId21" Target="http://www.sberbank.ru/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housing-and-communal-services/news/detail/9007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sberbank.com/" TargetMode="External" /><Relationship Type="http://schemas.openxmlformats.org/officeDocument/2006/relationships/hyperlink" Id="rId21" Target="http://www.sberbank.ru/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housing-and-communal-services/news/detail/9007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2024-10-25T00:18:42Z</dcterms:created>
  <dcterms:modified xsi:type="dcterms:W3CDTF">2024-10-25T00:18:42Z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