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a8c7f0b4785e4d049a0e309591fe8fd4a60f2b"/>
    <w:p>
      <w:pPr>
        <w:pStyle w:val="Heading3"/>
      </w:pPr>
      <w:r>
        <w:t xml:space="preserve">Об утверждении новой редакции Устава Государственного казенного учреждения города Москвы "Инженерная служба района Зябликово"</w:t>
      </w:r>
    </w:p>
    <w:p>
      <w:pPr>
        <w:pStyle w:val="FirstParagraph"/>
      </w:pPr>
      <w:r>
        <w:t xml:space="preserve">23.06.2020</w:t>
      </w:r>
    </w:p>
    <w:p>
      <w:pPr>
        <w:pStyle w:val="BodyText"/>
      </w:pPr>
      <w:r>
        <w:t xml:space="preserve">Распоряжение 01-10-193 от 11.06.2020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http://zyablikovo.mos.ru/housing-and-communal-services/news/detail/8982739.html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housing-and-communal-services/news/detail/89827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housing-and-communal-services/news/detail/89827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2024-10-08T13:55:59Z</dcterms:created>
  <dcterms:modified xsi:type="dcterms:W3CDTF">2024-10-08T13:55:59Z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