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bf80979d9929476fb99d5ef6de1ddbab9e9ce"/>
    <w:p>
      <w:pPr>
        <w:pStyle w:val="Heading3"/>
      </w:pPr>
      <w:r>
        <w:t xml:space="preserve">Адресный перечень объектов озеленения 3-й категории Южного Административного округа города Москвы, работы на которых будут проводиться по результатам опросов на проекте «Активный гражданин» в весенний период 2018 года</w:t>
      </w:r>
    </w:p>
    <w:p>
      <w:pPr>
        <w:pStyle w:val="FirstParagraph"/>
      </w:pPr>
      <w:r>
        <w:t xml:space="preserve">01.03.2018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http://zyablikovo.mos.ru/housing-and-communal-services/news/detail/7178220.html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housing-and-communal-services/news/detail/71782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housing-and-communal-services/news/detail/71782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2024-12-06T16:52:30Z</dcterms:created>
  <dcterms:modified xsi:type="dcterms:W3CDTF">2024-12-06T16:52:30Z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