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988845af8486c089711332d399f265cf78c2c"/>
    <w:p>
      <w:pPr>
        <w:pStyle w:val="Heading3"/>
      </w:pPr>
      <w:r>
        <w:t xml:space="preserve">Федеральный закон от 20.12.2017 N 416-ФЗ "О внесении изменений в статьи 44 и 46 Жилищного кодекса Российской Федерации"</w:t>
      </w:r>
    </w:p>
    <w:p>
      <w:pPr>
        <w:pStyle w:val="FirstParagraph"/>
      </w:pPr>
      <w:r>
        <w:t xml:space="preserve">16.01.2018</w:t>
      </w:r>
    </w:p>
    <w:p>
      <w:pPr>
        <w:pStyle w:val="BodyText"/>
      </w:pPr>
      <w:r>
        <w:t xml:space="preserve">Федеральный закон от 20.12.2017 N 416-ФЗ "О внесении изменений в статьи 44 и 46 Жилищного кодекса Российской Федерации"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http://zyablikovo.mos.ru/housing-and-communal-services/news/detail/7088794.html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70887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70887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2024-12-08T05:26:44Z</dcterms:created>
  <dcterms:modified xsi:type="dcterms:W3CDTF">2024-12-08T05:26:44Z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