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чем-грозит-неоплата-услуг-жкх"/>
    <w:p>
      <w:pPr>
        <w:pStyle w:val="Heading3"/>
      </w:pPr>
      <w:r>
        <w:t xml:space="preserve">Чем грозит неоплата услуг ЖКХ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drawing>
          <wp:inline>
            <wp:extent cx="5334000" cy="76713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e5/c9e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713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http://zyablikovo.mos.ru/housing-and-communal-services/news/detail/10063340.html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ousing-and-communal-services/news/detail/10063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ousing-and-communal-services/news/detail/10063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2025-07-25T05:59:05Z</dcterms:created>
  <dcterms:modified xsi:type="dcterms:W3CDTF">2025-07-25T05:59:05Z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