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028443718328848e1a50c22cd65649b104996"/>
    <w:p>
      <w:pPr>
        <w:pStyle w:val="Heading3"/>
      </w:pPr>
      <w:r>
        <w:t xml:space="preserve">Сохранение здоровья детей – одна из основных задач государственной политики Российской Федерации в сфере защиты интересов детства.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drawing>
          <wp:inline>
            <wp:extent cx="5334000" cy="57744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0e/6ygzrj8o0dykzc0ybe0ig1iuo92z8pjl/WhatsApp-Image-2023_06_05-at-10.56.37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74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структуре общей заболеваемости детей в возрасте от 0 до 14 лет первые ранговые места занимают болезни органов дыхания, органов пищеварения, болезни глаза и его придаточного аппарата, травмы, отравления и некоторые другие последствия воздействия внешних причин, болезни нервной системы и болезни костно-мышечной системы и соединительной ткани.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раннего выявления тяжелых наследственных и врожденных заболеваний в Российской Федерации проводится неонатальный скрининг, который позволяет своевременно диагностировать заболевания, начать лечение.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государства уделяется категории детей, страдающих редкими заболеваниями, приводящими к ранней инвалидизации и сокращению продолжительности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подростки злоупотребляют алкоголем, табачными изделиями, электронными сигаретами, в связи с чем важно повышать их осведомленность о вреде для здоровья и преимуществах здорового образа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http://zyablikovo.mos.ru/health/detail/11629311.html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ealth/detail/11629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ealth/detail/11629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2023-06-05T12:37:28Z</dcterms:created>
  <dcterms:modified xsi:type="dcterms:W3CDTF">2023-06-05T12:37:28Z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