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верки-атз-объектов-в-2019"/>
    <w:p>
      <w:pPr>
        <w:pStyle w:val="Heading3"/>
      </w:pPr>
      <w:r>
        <w:t xml:space="preserve">Проверки АТЗ объектов в 2019</w:t>
      </w:r>
    </w:p>
    <w:p>
      <w:pPr>
        <w:pStyle w:val="FirstParagraph"/>
      </w:pPr>
      <w:r>
        <w:t xml:space="preserve">28.10.2019</w:t>
      </w:r>
    </w:p>
    <w:p>
      <w:pPr>
        <w:pStyle w:val="BodyText"/>
      </w:pPr>
      <w:r>
        <w:t xml:space="preserve">Проверки АТЗ объектов проводятся согласно план-графику на 2019 год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http://zyablikovo.mos.ru/counter-terrorism/anti-terrorist-activity-of-the-district-zyablikovo-southern-administrative-district-of-moscow-city/the-results-of-inspections-atz-objects/detail/8449971.html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anti-terrorist-activity-of-the-district-zyablikovo-southern-administrative-district-of-moscow-city/the-results-of-inspections-atz-objects/detail/8449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anti-terrorist-activity-of-the-district-zyablikovo-southern-administrative-district-of-moscow-city/the-results-of-inspections-atz-objects/detail/8449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2023-11-12T08:54:05Z</dcterms:created>
  <dcterms:modified xsi:type="dcterms:W3CDTF">2023-11-12T08:54:05Z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