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cc088e157ab55d23789ffa85d62f17565077"/>
    <w:p>
      <w:pPr>
        <w:pStyle w:val="Heading3"/>
      </w:pPr>
      <w:r>
        <w:t xml:space="preserve">Виды дисциплинарных взысканий в отношении муниципальных служащих за коррупционные правонарушения.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предусмотрены дисциплинарные взыскания в виде замечания, выговора, увольнения с муниципальной службы по соответствующим основаниям, в том числе в связи с утратой доверия.</w:t>
      </w:r>
    </w:p>
    <w:p>
      <w:pPr>
        <w:pStyle w:val="BodyText"/>
      </w:pPr>
      <w:r>
        <w:t xml:space="preserve">Муниципальный служащий, допустивший коррупционное правонарушение, может быть временно (но не более чем на один месяц) до решения вопроса о его дисциплинарной ответственности отстранен представителем нанимателя (работодателем) от исполнения должностных обязанностей с сохранением денежного содержания.</w:t>
      </w:r>
    </w:p>
    <w:p>
      <w:pPr>
        <w:pStyle w:val="BodyText"/>
      </w:pPr>
      <w:r>
        <w:t xml:space="preserve">Отстранение муниципального служащего от исполнения должностных обязанностей производится соответственно распоряжением представителя нанимателя (работодателя).</w:t>
      </w:r>
    </w:p>
    <w:p>
      <w:pPr>
        <w:pStyle w:val="BodyText"/>
      </w:pPr>
      <w:r>
        <w:t xml:space="preserve">Основаниями для расторжения трудового договора с муниципальным служащим являются следующие коррупционные правонарушения:</w:t>
      </w:r>
    </w:p>
    <w:p>
      <w:pPr>
        <w:pStyle w:val="BodyText"/>
      </w:pPr>
      <w:r>
        <w:t xml:space="preserve">- несоблюдение ограничений, связанных с муниципальной службой (ст. 13 ФЗ «О муниципальной службе в Российской Федерации»);</w:t>
      </w:r>
    </w:p>
    <w:p>
      <w:pPr>
        <w:pStyle w:val="BodyText"/>
      </w:pPr>
      <w:r>
        <w:t xml:space="preserve">- несоблюдение запретов, связанных с муниципальной службой (ст. 14 ФЗ «О муниципальной службе в Российской Федерации»);</w:t>
      </w:r>
    </w:p>
    <w:p>
      <w:pPr>
        <w:pStyle w:val="BodyText"/>
      </w:pPr>
      <w:r>
        <w:t xml:space="preserve">- непринятие муниципальным служащим, являющимся стороной конфликта интересов, мер по предотвращению или урегулированию конфликта интересов (ч. 2.3 ст. 14.1 ФЗ «О муниципальной службе в Российской Федерации»);</w:t>
      </w:r>
    </w:p>
    <w:p>
      <w:pPr>
        <w:pStyle w:val="BodyText"/>
      </w:pPr>
      <w:r>
        <w:t xml:space="preserve">-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(ч. 3.1 ст. 14.1 ФЗ «О муниципальной службе в Российской Федерации»);</w:t>
      </w:r>
    </w:p>
    <w:p>
      <w:pPr>
        <w:pStyle w:val="BodyText"/>
      </w:pPr>
      <w:r>
        <w:t xml:space="preserve"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(ч. 5 ст. 15 ФЗ «О муниципальной службе в Российской Федерации»).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http://zyablikovo.mos.ru/anti-corruption/the-commission-for-observance-of-requirements-for-the-official-behaviour-of-state-civil-employees-of/detail/9711807.html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the-commission-for-observance-of-requirements-for-the-official-behaviour-of-state-civil-employees-of/detail/9711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the-commission-for-observance-of-requirements-for-the-official-behaviour-of-state-civil-employees-of/detail/9711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2025-02-10T11:15:11Z</dcterms:created>
  <dcterms:modified xsi:type="dcterms:W3CDTF">2025-02-10T11:15:11Z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